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附件：3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sz w:val="24"/>
          <w:szCs w:val="24"/>
        </w:rPr>
        <w:t>2022年度“泛华园林杯”山东省大学生风景园林优秀设计（论文）大赛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研究生课程设计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拟</w:t>
      </w:r>
      <w:r>
        <w:rPr>
          <w:rFonts w:hint="eastAsia" w:ascii="黑体" w:hAnsi="黑体" w:eastAsia="黑体"/>
          <w:b/>
          <w:sz w:val="32"/>
          <w:szCs w:val="24"/>
        </w:rPr>
        <w:t>获奖名单</w:t>
      </w:r>
      <w:bookmarkEnd w:id="0"/>
    </w:p>
    <w:tbl>
      <w:tblPr>
        <w:tblStyle w:val="3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3"/>
        <w:gridCol w:w="1050"/>
        <w:gridCol w:w="120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716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一等奖（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3份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tcBorders>
              <w:lef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05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0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164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《青岛取引所旧址保护与再利用设计》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邹邦涛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陈勐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《园中碳秘——碳中和视角下泰安中央公园规划设计》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韩昕彤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陈东田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《常忆常新·北大营充能新生》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杨謦铭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许宇彤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米凯强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肖华斌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二等奖（4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05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0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164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《萦梦鱼水》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赵嘉皓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《走街串里青岛里院建筑活化更新》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张长远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李文华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《中山渡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基于场域理论下的中山路历史文化街区更新设计》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沈惠灵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肖俊泽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单琳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成昌龙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李凤仪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《传承——历史文化基因视角下泰山扇子崖登山线文化与自然遗产保护规划》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程芳芳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王洪涛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三等奖（7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050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09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164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《青泉里》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邢风璇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武兴宇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宋凤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《重拾童稚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——青岛市海伦路社区儿童公园更新设计》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刘珍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陈菲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《欣欣巷荣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基于城市针灸理论的台东商业街更新设计》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刘啸天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吴睿君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王一迪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慕翰勋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李海防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《寻觅万千自然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——基于生境营遣的多维渗透景观设计》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宋莉萍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王佳妍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李桐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任震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张洁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《黄海之滨，帆续田横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“村景融合·文旅共生”视角下的滨海传统村落更新发展规划》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徐启明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黄璐璐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刘欣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朱蕊蕊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《此“时”此“地”——基于时间性与空间性的青岛市台东步行街改造设计》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段家冉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于圆馨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梁红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《五感由心---基于生态修复视角下的城市公园设计》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赵梦杰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曹灿景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3F4E451A"/>
    <w:rsid w:val="3F4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2022-09-26T02:40:00Z</dcterms:created>
  <dc:creator>豁牙宝宝</dc:creator>
  <cp:lastModifiedBy>豁牙宝宝</cp:lastModifiedBy>
  <dcterms:modified xsi:type="dcterms:W3CDTF">2022-09-26T02:47:05Z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F89EF5B8C6B94BD4B989C65077C1E026</vt:lpwstr>
  </property>
</Properties>
</file>